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15012C84" w:rsidR="00D07C27" w:rsidRPr="00D57B30" w:rsidRDefault="00D57B30" w:rsidP="008246F4">
      <w:pPr>
        <w:pStyle w:val="Heading1"/>
        <w:ind w:right="545"/>
        <w:rPr>
          <w:color w:val="1F4E79" w:themeColor="accent1" w:themeShade="80"/>
        </w:rPr>
      </w:pPr>
      <w:r w:rsidRPr="00D57B30">
        <w:rPr>
          <w:color w:val="1F4E79" w:themeColor="accent1" w:themeShade="80"/>
        </w:rPr>
        <w:t xml:space="preserve">Agenda Item </w:t>
      </w:r>
      <w:r w:rsidR="005E2AFC">
        <w:rPr>
          <w:color w:val="1F4E79" w:themeColor="accent1" w:themeShade="80"/>
        </w:rPr>
        <w:t>23</w:t>
      </w:r>
      <w:r w:rsidR="007F11CB">
        <w:rPr>
          <w:color w:val="1F4E79" w:themeColor="accent1" w:themeShade="80"/>
        </w:rPr>
        <w:t xml:space="preserve">: </w:t>
      </w:r>
      <w:r w:rsidR="005E2AFC">
        <w:rPr>
          <w:color w:val="1F4E79" w:themeColor="accent1" w:themeShade="80"/>
        </w:rPr>
        <w:t xml:space="preserve">GAC Onboarding &amp; Travel Support </w:t>
      </w:r>
      <w:r w:rsidR="00AA78F5">
        <w:rPr>
          <w:color w:val="1F4E79" w:themeColor="accent1" w:themeShade="80"/>
        </w:rPr>
        <w:t xml:space="preserve">Update &amp; </w:t>
      </w:r>
      <w:r w:rsidR="005E2AFC">
        <w:rPr>
          <w:color w:val="1F4E79" w:themeColor="accent1" w:themeShade="80"/>
        </w:rPr>
        <w:t>Discussion</w:t>
      </w:r>
    </w:p>
    <w:p w14:paraId="3E46E303" w14:textId="2AA6AD59" w:rsidR="00AA78F5" w:rsidRPr="00AA78F5" w:rsidRDefault="00AA78F5" w:rsidP="00EE2665">
      <w:pPr>
        <w:pStyle w:val="Heading2"/>
        <w:rPr>
          <w:sz w:val="20"/>
          <w:szCs w:val="20"/>
        </w:rPr>
      </w:pPr>
      <w:r w:rsidRPr="00AA78F5">
        <w:rPr>
          <w:sz w:val="20"/>
          <w:szCs w:val="20"/>
        </w:rPr>
        <w:t xml:space="preserve">Note: </w:t>
      </w:r>
      <w:r w:rsidRPr="00AA78F5">
        <w:rPr>
          <w:b w:val="0"/>
          <w:color w:val="auto"/>
          <w:sz w:val="20"/>
          <w:szCs w:val="20"/>
        </w:rPr>
        <w:t>This briefing has been prepared by ICANN support staff.</w:t>
      </w:r>
    </w:p>
    <w:p w14:paraId="527317F7" w14:textId="7E592E01" w:rsidR="007F47EB" w:rsidRDefault="00F60D91" w:rsidP="00EE2665">
      <w:pPr>
        <w:pStyle w:val="Heading2"/>
      </w:pPr>
      <w:r>
        <w:t>Issue</w:t>
      </w:r>
      <w:bookmarkStart w:id="0" w:name="_GoBack"/>
      <w:bookmarkEnd w:id="0"/>
    </w:p>
    <w:p w14:paraId="205CFAA1" w14:textId="77777777" w:rsidR="00AA78F5" w:rsidRDefault="00AA78F5" w:rsidP="00AA78F5">
      <w:pPr>
        <w:pStyle w:val="Heading3"/>
        <w:jc w:val="both"/>
        <w:rPr>
          <w:color w:val="1155CC"/>
          <w:sz w:val="22"/>
        </w:rPr>
      </w:pPr>
      <w:r>
        <w:rPr>
          <w:color w:val="1155CC"/>
          <w:sz w:val="22"/>
        </w:rPr>
        <w:t>GAC Onboarding</w:t>
      </w:r>
    </w:p>
    <w:p w14:paraId="2A07C775" w14:textId="77777777" w:rsidR="00AA78F5" w:rsidRDefault="00AA78F5" w:rsidP="00AA78F5">
      <w:pPr>
        <w:pStyle w:val="Heading3"/>
        <w:rPr>
          <w:b w:val="0"/>
          <w:color w:val="000000"/>
          <w:sz w:val="22"/>
        </w:rPr>
      </w:pPr>
      <w:bookmarkStart w:id="1" w:name="_h8ydohwrf0ci" w:colFirst="0" w:colLast="0"/>
      <w:bookmarkEnd w:id="1"/>
      <w:r>
        <w:rPr>
          <w:b w:val="0"/>
          <w:color w:val="000000"/>
          <w:sz w:val="22"/>
        </w:rPr>
        <w:t>Over the last two years, members of the GAC Underserved Regions Working Group, the ICANN Government Engagement Team, the ICANN Global Stakeholder Engagement Team and GAC Support staff have been working to develop new ways to improve information sharing for GAC participants (both newcomers and experienced member representatives) about the GAC’s work and the committee’s role in the ICANN Community.</w:t>
      </w:r>
    </w:p>
    <w:p w14:paraId="077BAC99"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just the last several months (since the ICANN61 meeting), twenty-two (22) new member representatives have joined the GAC.  Due to the high rotation of GAC participants, it is essential that all newcomers get a proper onboarding, learn about the topics and issues of importance to the GAC and get advice on how they can most effectively contribute to the GAC in his critical advisory role within the ICANN community. </w:t>
      </w:r>
    </w:p>
    <w:p w14:paraId="2E991BEF"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In order to assist and support new GAC Members, Observers and representatives, three major pilot initiatives have been initiated.</w:t>
      </w:r>
    </w:p>
    <w:p w14:paraId="42D17C1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sidRPr="00AA78F5">
        <w:rPr>
          <w:rFonts w:ascii="Century Gothic" w:eastAsia="Century Gothic" w:hAnsi="Century Gothic" w:cs="Century Gothic"/>
          <w:b/>
          <w:sz w:val="22"/>
          <w:szCs w:val="22"/>
        </w:rPr>
        <w:t>1 -  Capacity Building workshops.</w:t>
      </w:r>
      <w:r>
        <w:rPr>
          <w:rFonts w:ascii="Century Gothic" w:eastAsia="Century Gothic" w:hAnsi="Century Gothic" w:cs="Century Gothic"/>
          <w:sz w:val="22"/>
          <w:szCs w:val="22"/>
        </w:rPr>
        <w:br/>
      </w:r>
      <w:hyperlink r:id="rId8">
        <w:r>
          <w:rPr>
            <w:rFonts w:ascii="Century Gothic" w:eastAsia="Century Gothic" w:hAnsi="Century Gothic" w:cs="Century Gothic"/>
            <w:color w:val="1155CC"/>
            <w:sz w:val="22"/>
            <w:szCs w:val="22"/>
            <w:u w:val="single"/>
          </w:rPr>
          <w:t>https://gac.icann.org/activity/gac-capacity-development-workshops-2017-2018</w:t>
        </w:r>
      </w:hyperlink>
      <w:r>
        <w:rPr>
          <w:rFonts w:ascii="Century Gothic" w:eastAsia="Century Gothic" w:hAnsi="Century Gothic" w:cs="Century Gothic"/>
          <w:sz w:val="22"/>
          <w:szCs w:val="22"/>
        </w:rPr>
        <w:t xml:space="preserve"> </w:t>
      </w:r>
    </w:p>
    <w:p w14:paraId="79913C4A"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This project was initiated after ICANN56 in Helsinki, led by the GAC Underserved Regions WG, ICANN Government Engagement and Global Stakeholder Engagement Teams.  The goal of the effort has been to help GAC representatives better understand ICANN’s empowered community model, the role of the GAC in that model and how the committee contributes to ICANN’s various Policy Development Processes.</w:t>
      </w:r>
    </w:p>
    <w:p w14:paraId="53C2D1DA"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The full-day Capacity Building Workshop being held on Sunday 24 June in Panama City represents the 8th workshop of this effort. To learn more about this project and next steps, please refer to briefing Agenda Item 2 - GAC Capacity Building Workshop Preliminary Report.</w:t>
      </w:r>
    </w:p>
    <w:p w14:paraId="73F9727B"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sidRPr="00AA78F5">
        <w:rPr>
          <w:rFonts w:ascii="Century Gothic" w:eastAsia="Century Gothic" w:hAnsi="Century Gothic" w:cs="Century Gothic"/>
          <w:b/>
          <w:sz w:val="22"/>
          <w:szCs w:val="22"/>
        </w:rPr>
        <w:t>2 - GAC introductory webinar series pilot program.</w:t>
      </w:r>
      <w:r w:rsidRPr="00AA78F5">
        <w:rPr>
          <w:rFonts w:ascii="Century Gothic" w:eastAsia="Century Gothic" w:hAnsi="Century Gothic" w:cs="Century Gothic"/>
          <w:b/>
          <w:sz w:val="22"/>
          <w:szCs w:val="22"/>
        </w:rPr>
        <w:br/>
      </w:r>
      <w:hyperlink r:id="rId9">
        <w:r>
          <w:rPr>
            <w:rFonts w:ascii="Century Gothic" w:eastAsia="Century Gothic" w:hAnsi="Century Gothic" w:cs="Century Gothic"/>
            <w:color w:val="1155CC"/>
            <w:sz w:val="22"/>
            <w:szCs w:val="22"/>
            <w:u w:val="single"/>
          </w:rPr>
          <w:t>https://gac.icann.org/activity/gac-introductory-webinar-series-pilot-edition</w:t>
        </w:r>
      </w:hyperlink>
      <w:r>
        <w:rPr>
          <w:rFonts w:ascii="Century Gothic" w:eastAsia="Century Gothic" w:hAnsi="Century Gothic" w:cs="Century Gothic"/>
          <w:sz w:val="22"/>
          <w:szCs w:val="22"/>
        </w:rPr>
        <w:t xml:space="preserve"> </w:t>
      </w:r>
    </w:p>
    <w:p w14:paraId="43A9D42A"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eastAsia="Century Gothic" w:hAnsi="Century Gothic" w:cs="Century Gothic"/>
          <w:sz w:val="22"/>
          <w:szCs w:val="22"/>
        </w:rPr>
        <w:t>This pilot project was initiated after the ICANN61 Meeting following joint community discussions with the GAC. Over the last six weeks, three webinars have been conducted:</w:t>
      </w:r>
    </w:p>
    <w:p w14:paraId="653D3648"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An Overview of the ICANN Information Transparency Initiative - 15 May (see </w:t>
      </w:r>
      <w:hyperlink r:id="rId10">
        <w:r>
          <w:rPr>
            <w:rFonts w:ascii="Century Gothic" w:eastAsia="Century Gothic" w:hAnsi="Century Gothic" w:cs="Century Gothic"/>
            <w:color w:val="1155CC"/>
            <w:sz w:val="22"/>
            <w:szCs w:val="22"/>
            <w:u w:val="single"/>
          </w:rPr>
          <w:t>https://gac.icann.org/sessions/gac-introductory-webinar-series-information-transparency-initiative-iti</w:t>
        </w:r>
      </w:hyperlink>
      <w:r>
        <w:rPr>
          <w:rFonts w:ascii="Century Gothic" w:eastAsia="Century Gothic" w:hAnsi="Century Gothic" w:cs="Century Gothic"/>
          <w:sz w:val="22"/>
          <w:szCs w:val="22"/>
        </w:rPr>
        <w:t>;</w:t>
      </w:r>
    </w:p>
    <w:p w14:paraId="78585EFD"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Basics About the GNSO and the Policy Development Process  - 23 May (see </w:t>
      </w:r>
      <w:hyperlink r:id="rId11">
        <w:r>
          <w:rPr>
            <w:rFonts w:ascii="Century Gothic" w:eastAsia="Century Gothic" w:hAnsi="Century Gothic" w:cs="Century Gothic"/>
            <w:color w:val="1155CC"/>
            <w:sz w:val="22"/>
            <w:szCs w:val="22"/>
            <w:u w:val="single"/>
          </w:rPr>
          <w:t>https://gac.icann.org/sessions/gac-introductory-webinar-series-about-the-gnso-and-policy-development-process-pdp</w:t>
        </w:r>
      </w:hyperlink>
      <w:r>
        <w:rPr>
          <w:rFonts w:ascii="Century Gothic" w:eastAsia="Century Gothic" w:hAnsi="Century Gothic" w:cs="Century Gothic"/>
          <w:sz w:val="22"/>
          <w:szCs w:val="22"/>
        </w:rPr>
        <w:t>; and</w:t>
      </w:r>
    </w:p>
    <w:p w14:paraId="71411342"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An Introduction to the ICANN Complaints Officer - 31 May (see </w:t>
      </w:r>
      <w:hyperlink r:id="rId12">
        <w:r>
          <w:rPr>
            <w:rFonts w:ascii="Century Gothic" w:eastAsia="Century Gothic" w:hAnsi="Century Gothic" w:cs="Century Gothic"/>
            <w:color w:val="1155CC"/>
            <w:sz w:val="22"/>
            <w:szCs w:val="22"/>
            <w:u w:val="single"/>
          </w:rPr>
          <w:t>https://gac.icann.org/sessions/gac-introductory-webinar-series-icann-s-complaint-office</w:t>
        </w:r>
      </w:hyperlink>
    </w:p>
    <w:p w14:paraId="688CB4D9"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eastAsia="Century Gothic" w:hAnsi="Century Gothic" w:cs="Century Gothic"/>
          <w:sz w:val="22"/>
          <w:szCs w:val="22"/>
        </w:rPr>
        <w:t>Overall, twenty-nine (29) GAC Members and three (3) Observers have attended at least one of the webinar sessions.  Attendee feedback and comments collected after each webinar are allowing staff to shape the format, content and array of topics that are of interest to GAC participants.  The feedback will help inform additional introductory webinars over the next few months.</w:t>
      </w:r>
    </w:p>
    <w:p w14:paraId="7902DBFE"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0"/>
          <w:szCs w:val="20"/>
        </w:rPr>
      </w:pPr>
    </w:p>
    <w:tbl>
      <w:tblPr>
        <w:tblW w:w="11685" w:type="dxa"/>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395"/>
        <w:gridCol w:w="1230"/>
        <w:gridCol w:w="1665"/>
        <w:gridCol w:w="1200"/>
        <w:gridCol w:w="1635"/>
        <w:gridCol w:w="1635"/>
        <w:gridCol w:w="1665"/>
      </w:tblGrid>
      <w:tr w:rsidR="00AA78F5" w14:paraId="65BD1B5F" w14:textId="77777777" w:rsidTr="00F755F2">
        <w:tc>
          <w:tcPr>
            <w:tcW w:w="1260" w:type="dxa"/>
            <w:shd w:val="clear" w:color="auto" w:fill="auto"/>
            <w:tcMar>
              <w:top w:w="100" w:type="dxa"/>
              <w:left w:w="100" w:type="dxa"/>
              <w:bottom w:w="100" w:type="dxa"/>
              <w:right w:w="100" w:type="dxa"/>
            </w:tcMar>
          </w:tcPr>
          <w:p w14:paraId="7DBEA67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Webinar topics</w:t>
            </w:r>
          </w:p>
        </w:tc>
        <w:tc>
          <w:tcPr>
            <w:tcW w:w="1395" w:type="dxa"/>
            <w:shd w:val="clear" w:color="auto" w:fill="auto"/>
            <w:tcMar>
              <w:top w:w="100" w:type="dxa"/>
              <w:left w:w="100" w:type="dxa"/>
              <w:bottom w:w="100" w:type="dxa"/>
              <w:right w:w="100" w:type="dxa"/>
            </w:tcMar>
          </w:tcPr>
          <w:p w14:paraId="160430F8"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Members confirming their attendance</w:t>
            </w:r>
          </w:p>
        </w:tc>
        <w:tc>
          <w:tcPr>
            <w:tcW w:w="1230" w:type="dxa"/>
            <w:shd w:val="clear" w:color="auto" w:fill="auto"/>
            <w:tcMar>
              <w:top w:w="100" w:type="dxa"/>
              <w:left w:w="100" w:type="dxa"/>
              <w:bottom w:w="100" w:type="dxa"/>
              <w:right w:w="100" w:type="dxa"/>
            </w:tcMar>
          </w:tcPr>
          <w:p w14:paraId="39D74D9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Members who attended the webinar</w:t>
            </w:r>
          </w:p>
        </w:tc>
        <w:tc>
          <w:tcPr>
            <w:tcW w:w="1665" w:type="dxa"/>
            <w:shd w:val="clear" w:color="auto" w:fill="auto"/>
            <w:tcMar>
              <w:top w:w="100" w:type="dxa"/>
              <w:left w:w="100" w:type="dxa"/>
              <w:bottom w:w="100" w:type="dxa"/>
              <w:right w:w="100" w:type="dxa"/>
            </w:tcMar>
          </w:tcPr>
          <w:p w14:paraId="13C7ABB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Newcomers (since ICANN61) who attended </w:t>
            </w:r>
          </w:p>
        </w:tc>
        <w:tc>
          <w:tcPr>
            <w:tcW w:w="1200" w:type="dxa"/>
            <w:shd w:val="clear" w:color="auto" w:fill="auto"/>
            <w:tcMar>
              <w:top w:w="100" w:type="dxa"/>
              <w:left w:w="100" w:type="dxa"/>
              <w:bottom w:w="100" w:type="dxa"/>
              <w:right w:w="100" w:type="dxa"/>
            </w:tcMar>
          </w:tcPr>
          <w:p w14:paraId="6E133E8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Members who provided feedback </w:t>
            </w:r>
          </w:p>
        </w:tc>
        <w:tc>
          <w:tcPr>
            <w:tcW w:w="1635" w:type="dxa"/>
            <w:shd w:val="clear" w:color="auto" w:fill="auto"/>
            <w:tcMar>
              <w:top w:w="100" w:type="dxa"/>
              <w:left w:w="100" w:type="dxa"/>
              <w:bottom w:w="100" w:type="dxa"/>
              <w:right w:w="100" w:type="dxa"/>
            </w:tcMar>
          </w:tcPr>
          <w:p w14:paraId="7351CF7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Feedback summary</w:t>
            </w:r>
          </w:p>
        </w:tc>
        <w:tc>
          <w:tcPr>
            <w:tcW w:w="1635" w:type="dxa"/>
            <w:shd w:val="clear" w:color="auto" w:fill="auto"/>
            <w:tcMar>
              <w:top w:w="100" w:type="dxa"/>
              <w:left w:w="100" w:type="dxa"/>
              <w:bottom w:w="100" w:type="dxa"/>
              <w:right w:w="100" w:type="dxa"/>
            </w:tcMar>
          </w:tcPr>
          <w:p w14:paraId="249060E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Webinar improvements suggestions</w:t>
            </w:r>
          </w:p>
        </w:tc>
        <w:tc>
          <w:tcPr>
            <w:tcW w:w="1665" w:type="dxa"/>
            <w:shd w:val="clear" w:color="auto" w:fill="auto"/>
            <w:tcMar>
              <w:top w:w="100" w:type="dxa"/>
              <w:left w:w="100" w:type="dxa"/>
              <w:bottom w:w="100" w:type="dxa"/>
              <w:right w:w="100" w:type="dxa"/>
            </w:tcMar>
          </w:tcPr>
          <w:p w14:paraId="51E1FD3E"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Suggested Topics for future webinars</w:t>
            </w:r>
          </w:p>
        </w:tc>
      </w:tr>
      <w:tr w:rsidR="00AA78F5" w14:paraId="1AAA7024" w14:textId="77777777" w:rsidTr="00F755F2">
        <w:tc>
          <w:tcPr>
            <w:tcW w:w="1260" w:type="dxa"/>
            <w:shd w:val="clear" w:color="auto" w:fill="auto"/>
            <w:tcMar>
              <w:top w:w="100" w:type="dxa"/>
              <w:left w:w="100" w:type="dxa"/>
              <w:bottom w:w="100" w:type="dxa"/>
              <w:right w:w="100" w:type="dxa"/>
            </w:tcMar>
          </w:tcPr>
          <w:p w14:paraId="22D0024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ITI</w:t>
            </w:r>
          </w:p>
        </w:tc>
        <w:tc>
          <w:tcPr>
            <w:tcW w:w="1395" w:type="dxa"/>
            <w:shd w:val="clear" w:color="auto" w:fill="auto"/>
            <w:tcMar>
              <w:top w:w="100" w:type="dxa"/>
              <w:left w:w="100" w:type="dxa"/>
              <w:bottom w:w="100" w:type="dxa"/>
              <w:right w:w="100" w:type="dxa"/>
            </w:tcMar>
          </w:tcPr>
          <w:p w14:paraId="20F40D7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24</w:t>
            </w:r>
          </w:p>
        </w:tc>
        <w:tc>
          <w:tcPr>
            <w:tcW w:w="1230" w:type="dxa"/>
            <w:shd w:val="clear" w:color="auto" w:fill="auto"/>
            <w:tcMar>
              <w:top w:w="100" w:type="dxa"/>
              <w:left w:w="100" w:type="dxa"/>
              <w:bottom w:w="100" w:type="dxa"/>
              <w:right w:w="100" w:type="dxa"/>
            </w:tcMar>
          </w:tcPr>
          <w:p w14:paraId="4DB4BC5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12</w:t>
            </w:r>
          </w:p>
        </w:tc>
        <w:tc>
          <w:tcPr>
            <w:tcW w:w="1665" w:type="dxa"/>
            <w:shd w:val="clear" w:color="auto" w:fill="auto"/>
            <w:tcMar>
              <w:top w:w="100" w:type="dxa"/>
              <w:left w:w="100" w:type="dxa"/>
              <w:bottom w:w="100" w:type="dxa"/>
              <w:right w:w="100" w:type="dxa"/>
            </w:tcMar>
          </w:tcPr>
          <w:p w14:paraId="29A9F4A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1200" w:type="dxa"/>
            <w:shd w:val="clear" w:color="auto" w:fill="auto"/>
            <w:tcMar>
              <w:top w:w="100" w:type="dxa"/>
              <w:left w:w="100" w:type="dxa"/>
              <w:bottom w:w="100" w:type="dxa"/>
              <w:right w:w="100" w:type="dxa"/>
            </w:tcMar>
          </w:tcPr>
          <w:p w14:paraId="781A7F9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1635" w:type="dxa"/>
            <w:shd w:val="clear" w:color="auto" w:fill="auto"/>
            <w:tcMar>
              <w:top w:w="100" w:type="dxa"/>
              <w:left w:w="100" w:type="dxa"/>
              <w:bottom w:w="100" w:type="dxa"/>
              <w:right w:w="100" w:type="dxa"/>
            </w:tcMar>
          </w:tcPr>
          <w:p w14:paraId="2B9E433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Valuable information on ICANN’s new project</w:t>
            </w:r>
          </w:p>
        </w:tc>
        <w:tc>
          <w:tcPr>
            <w:tcW w:w="1635" w:type="dxa"/>
            <w:shd w:val="clear" w:color="auto" w:fill="auto"/>
            <w:tcMar>
              <w:top w:w="100" w:type="dxa"/>
              <w:left w:w="100" w:type="dxa"/>
              <w:bottom w:w="100" w:type="dxa"/>
              <w:right w:w="100" w:type="dxa"/>
            </w:tcMar>
          </w:tcPr>
          <w:p w14:paraId="718549A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Provide captioning</w:t>
            </w:r>
          </w:p>
        </w:tc>
        <w:tc>
          <w:tcPr>
            <w:tcW w:w="1665" w:type="dxa"/>
            <w:shd w:val="clear" w:color="auto" w:fill="auto"/>
            <w:tcMar>
              <w:top w:w="100" w:type="dxa"/>
              <w:left w:w="100" w:type="dxa"/>
              <w:bottom w:w="100" w:type="dxa"/>
              <w:right w:w="100" w:type="dxa"/>
            </w:tcMar>
          </w:tcPr>
          <w:p w14:paraId="2167801C"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GDPR and personal data protection</w:t>
            </w:r>
          </w:p>
        </w:tc>
      </w:tr>
      <w:tr w:rsidR="00AA78F5" w14:paraId="73E3EEC2" w14:textId="77777777" w:rsidTr="00F755F2">
        <w:tc>
          <w:tcPr>
            <w:tcW w:w="1260" w:type="dxa"/>
            <w:shd w:val="clear" w:color="auto" w:fill="auto"/>
            <w:tcMar>
              <w:top w:w="100" w:type="dxa"/>
              <w:left w:w="100" w:type="dxa"/>
              <w:bottom w:w="100" w:type="dxa"/>
              <w:right w:w="100" w:type="dxa"/>
            </w:tcMar>
          </w:tcPr>
          <w:p w14:paraId="179CD0E0"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GNSO</w:t>
            </w:r>
          </w:p>
        </w:tc>
        <w:tc>
          <w:tcPr>
            <w:tcW w:w="1395" w:type="dxa"/>
            <w:shd w:val="clear" w:color="auto" w:fill="auto"/>
            <w:tcMar>
              <w:top w:w="100" w:type="dxa"/>
              <w:left w:w="100" w:type="dxa"/>
              <w:bottom w:w="100" w:type="dxa"/>
              <w:right w:w="100" w:type="dxa"/>
            </w:tcMar>
          </w:tcPr>
          <w:p w14:paraId="7605D2E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32</w:t>
            </w:r>
          </w:p>
        </w:tc>
        <w:tc>
          <w:tcPr>
            <w:tcW w:w="1230" w:type="dxa"/>
            <w:shd w:val="clear" w:color="auto" w:fill="auto"/>
            <w:tcMar>
              <w:top w:w="100" w:type="dxa"/>
              <w:left w:w="100" w:type="dxa"/>
              <w:bottom w:w="100" w:type="dxa"/>
              <w:right w:w="100" w:type="dxa"/>
            </w:tcMar>
          </w:tcPr>
          <w:p w14:paraId="5878C43A"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11</w:t>
            </w:r>
          </w:p>
        </w:tc>
        <w:tc>
          <w:tcPr>
            <w:tcW w:w="1665" w:type="dxa"/>
            <w:shd w:val="clear" w:color="auto" w:fill="auto"/>
            <w:tcMar>
              <w:top w:w="100" w:type="dxa"/>
              <w:left w:w="100" w:type="dxa"/>
              <w:bottom w:w="100" w:type="dxa"/>
              <w:right w:w="100" w:type="dxa"/>
            </w:tcMar>
          </w:tcPr>
          <w:p w14:paraId="2C0CDCE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1200" w:type="dxa"/>
            <w:shd w:val="clear" w:color="auto" w:fill="auto"/>
            <w:tcMar>
              <w:top w:w="100" w:type="dxa"/>
              <w:left w:w="100" w:type="dxa"/>
              <w:bottom w:w="100" w:type="dxa"/>
              <w:right w:w="100" w:type="dxa"/>
            </w:tcMar>
          </w:tcPr>
          <w:p w14:paraId="04828E9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1635" w:type="dxa"/>
            <w:shd w:val="clear" w:color="auto" w:fill="auto"/>
            <w:tcMar>
              <w:top w:w="100" w:type="dxa"/>
              <w:left w:w="100" w:type="dxa"/>
              <w:bottom w:w="100" w:type="dxa"/>
              <w:right w:w="100" w:type="dxa"/>
            </w:tcMar>
          </w:tcPr>
          <w:p w14:paraId="1FA4EB1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Very good and clear introduction on the GNSO's role, the PDP process and interaction with other ICANN stakeholders and GAC.</w:t>
            </w:r>
          </w:p>
        </w:tc>
        <w:tc>
          <w:tcPr>
            <w:tcW w:w="1635" w:type="dxa"/>
            <w:shd w:val="clear" w:color="auto" w:fill="auto"/>
            <w:tcMar>
              <w:top w:w="100" w:type="dxa"/>
              <w:left w:w="100" w:type="dxa"/>
              <w:bottom w:w="100" w:type="dxa"/>
              <w:right w:w="100" w:type="dxa"/>
            </w:tcMar>
          </w:tcPr>
          <w:p w14:paraId="14DB4F4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Send presentations and other material in advance of the webinar</w:t>
            </w:r>
          </w:p>
        </w:tc>
        <w:tc>
          <w:tcPr>
            <w:tcW w:w="1665" w:type="dxa"/>
            <w:shd w:val="clear" w:color="auto" w:fill="auto"/>
            <w:tcMar>
              <w:top w:w="100" w:type="dxa"/>
              <w:left w:w="100" w:type="dxa"/>
              <w:bottom w:w="100" w:type="dxa"/>
              <w:right w:w="100" w:type="dxa"/>
            </w:tcMar>
          </w:tcPr>
          <w:p w14:paraId="3C7C6D8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Bylaws process in order to better understand ICANN's model</w:t>
            </w:r>
          </w:p>
          <w:p w14:paraId="0C82594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Appeal mechanism towards the ICANN Board </w:t>
            </w:r>
          </w:p>
          <w:p w14:paraId="7FA83AC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p>
        </w:tc>
      </w:tr>
      <w:tr w:rsidR="00AA78F5" w14:paraId="077B287D" w14:textId="77777777" w:rsidTr="00F755F2">
        <w:tc>
          <w:tcPr>
            <w:tcW w:w="1260" w:type="dxa"/>
            <w:shd w:val="clear" w:color="auto" w:fill="auto"/>
            <w:tcMar>
              <w:top w:w="100" w:type="dxa"/>
              <w:left w:w="100" w:type="dxa"/>
              <w:bottom w:w="100" w:type="dxa"/>
              <w:right w:w="100" w:type="dxa"/>
            </w:tcMar>
          </w:tcPr>
          <w:p w14:paraId="0A4B7C18"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ICANN Complaint Officer</w:t>
            </w:r>
          </w:p>
        </w:tc>
        <w:tc>
          <w:tcPr>
            <w:tcW w:w="1395" w:type="dxa"/>
            <w:shd w:val="clear" w:color="auto" w:fill="auto"/>
            <w:tcMar>
              <w:top w:w="100" w:type="dxa"/>
              <w:left w:w="100" w:type="dxa"/>
              <w:bottom w:w="100" w:type="dxa"/>
              <w:right w:w="100" w:type="dxa"/>
            </w:tcMar>
          </w:tcPr>
          <w:p w14:paraId="0CE462B0"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18</w:t>
            </w:r>
          </w:p>
        </w:tc>
        <w:tc>
          <w:tcPr>
            <w:tcW w:w="1230" w:type="dxa"/>
            <w:shd w:val="clear" w:color="auto" w:fill="auto"/>
            <w:tcMar>
              <w:top w:w="100" w:type="dxa"/>
              <w:left w:w="100" w:type="dxa"/>
              <w:bottom w:w="100" w:type="dxa"/>
              <w:right w:w="100" w:type="dxa"/>
            </w:tcMar>
          </w:tcPr>
          <w:p w14:paraId="30AAB5B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9</w:t>
            </w:r>
          </w:p>
        </w:tc>
        <w:tc>
          <w:tcPr>
            <w:tcW w:w="1665" w:type="dxa"/>
            <w:shd w:val="clear" w:color="auto" w:fill="auto"/>
            <w:tcMar>
              <w:top w:w="100" w:type="dxa"/>
              <w:left w:w="100" w:type="dxa"/>
              <w:bottom w:w="100" w:type="dxa"/>
              <w:right w:w="100" w:type="dxa"/>
            </w:tcMar>
          </w:tcPr>
          <w:p w14:paraId="200A9ED4"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1200" w:type="dxa"/>
            <w:shd w:val="clear" w:color="auto" w:fill="auto"/>
            <w:tcMar>
              <w:top w:w="100" w:type="dxa"/>
              <w:left w:w="100" w:type="dxa"/>
              <w:bottom w:w="100" w:type="dxa"/>
              <w:right w:w="100" w:type="dxa"/>
            </w:tcMar>
          </w:tcPr>
          <w:p w14:paraId="527BE0F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1635" w:type="dxa"/>
            <w:shd w:val="clear" w:color="auto" w:fill="auto"/>
            <w:tcMar>
              <w:top w:w="100" w:type="dxa"/>
              <w:left w:w="100" w:type="dxa"/>
              <w:bottom w:w="100" w:type="dxa"/>
              <w:right w:w="100" w:type="dxa"/>
            </w:tcMar>
          </w:tcPr>
          <w:p w14:paraId="7572352D"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Very interesting </w:t>
            </w:r>
            <w:r>
              <w:rPr>
                <w:rFonts w:ascii="Century Gothic" w:eastAsia="Century Gothic" w:hAnsi="Century Gothic" w:cs="Century Gothic"/>
                <w:sz w:val="20"/>
                <w:szCs w:val="20"/>
                <w:highlight w:val="white"/>
              </w:rPr>
              <w:t>information on how to mitigate complaints, the functions of the ICANN Complaint Officer and the threshold between this department and others such as Compliance and the Ombudsman.</w:t>
            </w:r>
          </w:p>
        </w:tc>
        <w:tc>
          <w:tcPr>
            <w:tcW w:w="1635" w:type="dxa"/>
            <w:shd w:val="clear" w:color="auto" w:fill="auto"/>
            <w:tcMar>
              <w:top w:w="100" w:type="dxa"/>
              <w:left w:w="100" w:type="dxa"/>
              <w:bottom w:w="100" w:type="dxa"/>
              <w:right w:w="100" w:type="dxa"/>
            </w:tcMar>
          </w:tcPr>
          <w:p w14:paraId="396EEA3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More in depth examples / case studies when possible</w:t>
            </w:r>
          </w:p>
        </w:tc>
        <w:tc>
          <w:tcPr>
            <w:tcW w:w="1665" w:type="dxa"/>
            <w:shd w:val="clear" w:color="auto" w:fill="auto"/>
            <w:tcMar>
              <w:top w:w="100" w:type="dxa"/>
              <w:left w:w="100" w:type="dxa"/>
              <w:bottom w:w="100" w:type="dxa"/>
              <w:right w:w="100" w:type="dxa"/>
            </w:tcMar>
          </w:tcPr>
          <w:p w14:paraId="6F1B5AE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Arial" w:eastAsia="Arial" w:hAnsi="Arial" w:cs="Arial"/>
                <w:sz w:val="20"/>
                <w:szCs w:val="20"/>
                <w:highlight w:val="white"/>
              </w:rPr>
              <w:t>-</w:t>
            </w:r>
            <w:r>
              <w:rPr>
                <w:rFonts w:ascii="Century Gothic" w:eastAsia="Century Gothic" w:hAnsi="Century Gothic" w:cs="Century Gothic"/>
                <w:sz w:val="20"/>
                <w:szCs w:val="20"/>
                <w:highlight w:val="white"/>
              </w:rPr>
              <w:t>Contractual Compliance</w:t>
            </w:r>
            <w:r>
              <w:rPr>
                <w:rFonts w:ascii="Century Gothic" w:eastAsia="Century Gothic" w:hAnsi="Century Gothic" w:cs="Century Gothic"/>
                <w:sz w:val="20"/>
                <w:szCs w:val="20"/>
                <w:highlight w:val="white"/>
              </w:rPr>
              <w:br/>
              <w:t>- ICANN Board’s role and limitation relating to policy development and decision making</w:t>
            </w:r>
            <w:r>
              <w:rPr>
                <w:rFonts w:ascii="Century Gothic" w:eastAsia="Century Gothic" w:hAnsi="Century Gothic" w:cs="Century Gothic"/>
                <w:sz w:val="20"/>
                <w:szCs w:val="20"/>
                <w:highlight w:val="white"/>
              </w:rPr>
              <w:br/>
              <w:t>-Partnerships of ICANN regarding DNS abuse mitigation</w:t>
            </w:r>
            <w:r>
              <w:rPr>
                <w:rFonts w:ascii="Century Gothic" w:eastAsia="Century Gothic" w:hAnsi="Century Gothic" w:cs="Century Gothic"/>
                <w:sz w:val="20"/>
                <w:szCs w:val="20"/>
                <w:highlight w:val="white"/>
              </w:rPr>
              <w:br/>
              <w:t>- ICANN WHOIS</w:t>
            </w:r>
          </w:p>
        </w:tc>
      </w:tr>
    </w:tbl>
    <w:p w14:paraId="1ACCEB80"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0"/>
          <w:szCs w:val="20"/>
        </w:rPr>
      </w:pPr>
    </w:p>
    <w:p w14:paraId="427347CB"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5B961CB9"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28D8C737" w14:textId="77777777" w:rsidR="00AA78F5" w:rsidRPr="00AA78F5" w:rsidRDefault="00AA78F5" w:rsidP="00AA78F5">
      <w:pPr>
        <w:pBdr>
          <w:top w:val="nil"/>
          <w:left w:val="nil"/>
          <w:bottom w:val="nil"/>
          <w:right w:val="nil"/>
          <w:between w:val="nil"/>
        </w:pBdr>
        <w:spacing w:after="200" w:line="276" w:lineRule="auto"/>
        <w:rPr>
          <w:rFonts w:ascii="Century Gothic" w:eastAsia="Century Gothic" w:hAnsi="Century Gothic" w:cs="Century Gothic"/>
          <w:b/>
          <w:sz w:val="22"/>
          <w:szCs w:val="22"/>
        </w:rPr>
      </w:pPr>
      <w:r w:rsidRPr="00AA78F5">
        <w:rPr>
          <w:rFonts w:ascii="Century Gothic" w:eastAsia="Century Gothic" w:hAnsi="Century Gothic" w:cs="Century Gothic"/>
          <w:b/>
          <w:sz w:val="22"/>
          <w:szCs w:val="22"/>
        </w:rPr>
        <w:t xml:space="preserve">3 - ICANN Learn platform. </w:t>
      </w:r>
    </w:p>
    <w:p w14:paraId="1F5F52F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b/>
          <w:sz w:val="20"/>
          <w:szCs w:val="20"/>
        </w:rPr>
      </w:pPr>
      <w:r>
        <w:rPr>
          <w:rFonts w:ascii="Century Gothic" w:eastAsia="Century Gothic" w:hAnsi="Century Gothic" w:cs="Century Gothic"/>
          <w:sz w:val="22"/>
          <w:szCs w:val="22"/>
        </w:rPr>
        <w:t>The ICANN Learn Platform has been effectively utilized by a number of ICANN community groups and is a useful platform for onboarding content involving all aspects of the ICANN community.  As the GAC has learned more about this tool and resources have come available, all webinar series, Capacity Building Workshop information and introductory courses on the GAC and its work will be centralized on the ICANN Learn platform. The information provided will not only be available to the GAC but also to the ICANN Community to help explain GAC efforts to the rest of the community.</w:t>
      </w:r>
    </w:p>
    <w:p w14:paraId="26FD7F61" w14:textId="77777777" w:rsidR="00AA78F5" w:rsidRPr="00BF4B9D" w:rsidRDefault="00AA78F5" w:rsidP="00AA78F5">
      <w:pPr>
        <w:pStyle w:val="Heading3"/>
        <w:jc w:val="both"/>
        <w:rPr>
          <w:color w:val="0070C0"/>
          <w:sz w:val="22"/>
        </w:rPr>
      </w:pPr>
      <w:bookmarkStart w:id="2" w:name="_3cn0e2769io1" w:colFirst="0" w:colLast="0"/>
      <w:bookmarkEnd w:id="2"/>
      <w:r w:rsidRPr="00BF4B9D">
        <w:rPr>
          <w:color w:val="0070C0"/>
          <w:sz w:val="22"/>
        </w:rPr>
        <w:t xml:space="preserve">GAC Travel Support </w:t>
      </w:r>
    </w:p>
    <w:p w14:paraId="660C7CEF"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Support for travel to ICANN Public Meetings is an important resource to help expand participation in GAC work efforts and effectively share knowledge about issues of important to GAC members.  </w:t>
      </w:r>
    </w:p>
    <w:p w14:paraId="0821CEB8"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Forty (40) travel support slots have been secured for GAC member attendance to attend ICANN Public Meetings in the next ICANN fiscal year (FY19).  Each travel slot consists of per diem, airfare and lodging for the duration of the meeting (arrival one day before and departure one day after the official meeting dates).</w:t>
      </w:r>
    </w:p>
    <w:p w14:paraId="14041FEB"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Panama, GAC Support staff will share developments in the process for indicating interest in and applying for travel support to ICANN Public Meetings.  The staff will also explain the resources being made available to support additional </w:t>
      </w:r>
      <w:proofErr w:type="gramStart"/>
      <w:r>
        <w:rPr>
          <w:rFonts w:ascii="Century Gothic" w:eastAsia="Century Gothic" w:hAnsi="Century Gothic" w:cs="Century Gothic"/>
          <w:sz w:val="22"/>
          <w:szCs w:val="22"/>
        </w:rPr>
        <w:t>high ranking</w:t>
      </w:r>
      <w:proofErr w:type="gram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travelers</w:t>
      </w:r>
      <w:proofErr w:type="spellEnd"/>
      <w:r>
        <w:rPr>
          <w:rFonts w:ascii="Century Gothic" w:eastAsia="Century Gothic" w:hAnsi="Century Gothic" w:cs="Century Gothic"/>
          <w:sz w:val="22"/>
          <w:szCs w:val="22"/>
        </w:rPr>
        <w:t xml:space="preserve"> for the upcoming High Level Government Meeting at ICANN63 in Barcelona.</w:t>
      </w:r>
    </w:p>
    <w:p w14:paraId="7D49414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2"/>
          <w:szCs w:val="22"/>
        </w:rPr>
        <w:t xml:space="preserve">The staff will also explain the new ICANN initiative to re-examine ICANN’s Travel Support Guidelines (see </w:t>
      </w:r>
      <w:hyperlink r:id="rId13">
        <w:r>
          <w:rPr>
            <w:rFonts w:ascii="Century Gothic" w:eastAsia="Century Gothic" w:hAnsi="Century Gothic" w:cs="Century Gothic"/>
            <w:color w:val="1155CC"/>
            <w:sz w:val="22"/>
            <w:szCs w:val="22"/>
            <w:u w:val="single"/>
          </w:rPr>
          <w:t>https://www.icann.org/public-comments/travel-support-guidelines-2018-05-30-en</w:t>
        </w:r>
      </w:hyperlink>
      <w:r>
        <w:rPr>
          <w:rFonts w:ascii="Century Gothic" w:eastAsia="Century Gothic" w:hAnsi="Century Gothic" w:cs="Century Gothic"/>
          <w:sz w:val="22"/>
          <w:szCs w:val="22"/>
        </w:rPr>
        <w:t>,)</w:t>
      </w:r>
    </w:p>
    <w:p w14:paraId="56BCDF81" w14:textId="3E179116" w:rsidR="00E615C7" w:rsidRDefault="00E615C7" w:rsidP="009E2D17">
      <w:pPr>
        <w:pStyle w:val="BodyText"/>
      </w:pPr>
    </w:p>
    <w:p w14:paraId="2C2EC539" w14:textId="3E9F6D5E" w:rsidR="00E615C7" w:rsidRDefault="00E615C7" w:rsidP="00920FBF">
      <w:pPr>
        <w:pStyle w:val="BodyText"/>
      </w:pPr>
    </w:p>
    <w:p w14:paraId="18C8D1B4" w14:textId="77777777" w:rsidR="003D4677" w:rsidRDefault="003D4677" w:rsidP="00920FBF">
      <w:pPr>
        <w:pStyle w:val="BodyText"/>
      </w:pPr>
    </w:p>
    <w:p w14:paraId="30BFE102" w14:textId="58FE14E6" w:rsidR="00416093" w:rsidRDefault="00F21D6A" w:rsidP="00EE2665">
      <w:pPr>
        <w:pStyle w:val="Heading2"/>
      </w:pPr>
      <w:bookmarkStart w:id="3" w:name="_Hlk484433727"/>
      <w:r>
        <w:t xml:space="preserve">Document </w:t>
      </w:r>
      <w:r w:rsidR="001B337F">
        <w:t>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D27E64">
        <w:tc>
          <w:tcPr>
            <w:tcW w:w="3261" w:type="dxa"/>
            <w:vAlign w:val="center"/>
          </w:tcPr>
          <w:p w14:paraId="4950A8FE" w14:textId="77777777" w:rsidR="00010398" w:rsidRPr="003F43E3" w:rsidRDefault="00010398"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3670060B" w14:textId="31D10CB4" w:rsidR="00010398" w:rsidRPr="00EA3A02" w:rsidRDefault="009E2D17" w:rsidP="00FC2E8B">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 xml:space="preserve">GAC </w:t>
            </w:r>
            <w:r w:rsidR="005E2AFC">
              <w:rPr>
                <w:rFonts w:ascii="Century Gothic" w:eastAsiaTheme="minorEastAsia" w:hAnsi="Century Gothic" w:cstheme="minorBidi"/>
                <w:sz w:val="20"/>
                <w:szCs w:val="20"/>
              </w:rPr>
              <w:t>Onboarding &amp; Travel Support</w:t>
            </w:r>
          </w:p>
        </w:tc>
      </w:tr>
      <w:tr w:rsidR="00010398" w:rsidRPr="003F43E3" w14:paraId="0641DFB7" w14:textId="77777777" w:rsidTr="00D27E64">
        <w:tc>
          <w:tcPr>
            <w:tcW w:w="3261" w:type="dxa"/>
            <w:vAlign w:val="center"/>
          </w:tcPr>
          <w:p w14:paraId="23363542" w14:textId="77777777" w:rsidR="00010398" w:rsidRPr="003F43E3" w:rsidRDefault="00010398"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71A5F200" w14:textId="77777777" w:rsidR="00010398" w:rsidRPr="003F43E3" w:rsidRDefault="00010398"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010398" w:rsidRPr="003F43E3" w14:paraId="0DD5FC1F" w14:textId="77777777" w:rsidTr="00D27E64">
        <w:tc>
          <w:tcPr>
            <w:tcW w:w="3261" w:type="dxa"/>
            <w:vAlign w:val="center"/>
          </w:tcPr>
          <w:p w14:paraId="283030BF" w14:textId="77777777" w:rsidR="00010398" w:rsidRPr="003F43E3" w:rsidRDefault="00010398"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5BCACAE1" w14:textId="128AABE2" w:rsidR="00010398" w:rsidRPr="003F43E3" w:rsidRDefault="00AA78F5"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14</w:t>
            </w:r>
            <w:r w:rsidR="00373418">
              <w:rPr>
                <w:rFonts w:ascii="Century Gothic" w:eastAsiaTheme="minorEastAsia" w:hAnsi="Century Gothic" w:cstheme="minorBidi"/>
                <w:sz w:val="20"/>
                <w:szCs w:val="20"/>
              </w:rPr>
              <w:t xml:space="preserve"> June 2018</w:t>
            </w:r>
          </w:p>
        </w:tc>
      </w:tr>
      <w:bookmarkEnd w:id="3"/>
    </w:tbl>
    <w:p w14:paraId="5F2B7234" w14:textId="77777777" w:rsidR="0017576D" w:rsidRPr="00CF56FA" w:rsidRDefault="0017576D" w:rsidP="00E64914">
      <w:pPr>
        <w:pStyle w:val="BodyText"/>
        <w:ind w:right="545"/>
        <w:rPr>
          <w:color w:val="000000"/>
          <w:szCs w:val="20"/>
        </w:rPr>
      </w:pPr>
    </w:p>
    <w:sectPr w:rsidR="0017576D" w:rsidRPr="00CF56FA"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0F7" w14:textId="77777777" w:rsidR="00772829" w:rsidRDefault="00772829" w:rsidP="00A24449">
      <w:r>
        <w:separator/>
      </w:r>
    </w:p>
  </w:endnote>
  <w:endnote w:type="continuationSeparator" w:id="0">
    <w:p w14:paraId="6F8379EF" w14:textId="77777777" w:rsidR="00772829" w:rsidRDefault="00772829"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414BB7" w:rsidRDefault="00414BB7" w:rsidP="002276FD">
    <w:pPr>
      <w:pStyle w:val="Footer"/>
      <w:ind w:left="-567" w:right="261"/>
    </w:pPr>
  </w:p>
  <w:p w14:paraId="1F6A8333" w14:textId="07D6AD7B" w:rsidR="00414BB7" w:rsidRPr="00B026C8" w:rsidRDefault="00D161F9" w:rsidP="002276FD">
    <w:pPr>
      <w:pBdr>
        <w:top w:val="single" w:sz="18" w:space="1" w:color="1F497D"/>
      </w:pBdr>
      <w:spacing w:before="240"/>
      <w:ind w:right="261"/>
      <w:rPr>
        <w:rFonts w:ascii="Century Gothic" w:hAnsi="Century Gothic"/>
        <w:color w:val="00408E"/>
      </w:rPr>
    </w:pP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sidR="00414BB7">
      <w:rPr>
        <w:rFonts w:ascii="Century Gothic" w:hAnsi="Century Gothic"/>
        <w:color w:val="00408E"/>
        <w:sz w:val="16"/>
        <w:szCs w:val="16"/>
      </w:rPr>
      <w:tab/>
    </w:r>
    <w:r w:rsidR="00414BB7">
      <w:rPr>
        <w:rFonts w:ascii="Century Gothic" w:hAnsi="Century Gothic"/>
        <w:color w:val="00408E"/>
        <w:sz w:val="16"/>
        <w:szCs w:val="16"/>
      </w:rPr>
      <w:tab/>
      <w:t xml:space="preserve">      </w:t>
    </w:r>
    <w:r w:rsidR="00414BB7">
      <w:rPr>
        <w:rFonts w:ascii="Century Gothic" w:hAnsi="Century Gothic"/>
        <w:color w:val="00408E"/>
        <w:sz w:val="16"/>
        <w:szCs w:val="16"/>
      </w:rPr>
      <w:tab/>
      <w:t xml:space="preserve">                </w:t>
    </w:r>
    <w:r w:rsidR="00414BB7">
      <w:rPr>
        <w:rFonts w:ascii="Century Gothic" w:hAnsi="Century Gothic"/>
        <w:color w:val="00408E"/>
        <w:sz w:val="16"/>
        <w:szCs w:val="16"/>
      </w:rPr>
      <w:tab/>
    </w:r>
    <w:r w:rsidR="00414BB7">
      <w:rPr>
        <w:rFonts w:ascii="Century Gothic" w:hAnsi="Century Gothic"/>
        <w:color w:val="00408E"/>
        <w:sz w:val="16"/>
        <w:szCs w:val="16"/>
      </w:rPr>
      <w:tab/>
    </w:r>
    <w:r w:rsidR="00414BB7">
      <w:rPr>
        <w:rFonts w:ascii="Century Gothic" w:hAnsi="Century Gothic"/>
        <w:color w:val="00408E"/>
        <w:sz w:val="16"/>
        <w:szCs w:val="16"/>
      </w:rPr>
      <w:tab/>
    </w:r>
    <w:r w:rsidR="00652976">
      <w:rPr>
        <w:rFonts w:ascii="Century Gothic" w:hAnsi="Century Gothic"/>
        <w:color w:val="00408E"/>
        <w:sz w:val="16"/>
        <w:szCs w:val="16"/>
      </w:rPr>
      <w:t xml:space="preserve">                 </w:t>
    </w:r>
    <w:r w:rsidR="00414BB7">
      <w:rPr>
        <w:rFonts w:ascii="Century Gothic" w:hAnsi="Century Gothic"/>
        <w:color w:val="00408E"/>
        <w:sz w:val="16"/>
        <w:szCs w:val="16"/>
      </w:rPr>
      <w:tab/>
      <w:t xml:space="preserve"> </w:t>
    </w:r>
    <w:r w:rsidR="00414BB7" w:rsidRPr="00B026C8">
      <w:rPr>
        <w:rFonts w:ascii="Century Gothic" w:hAnsi="Century Gothic"/>
        <w:color w:val="00408E"/>
        <w:sz w:val="16"/>
        <w:szCs w:val="16"/>
      </w:rPr>
      <w:t xml:space="preserve">Page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PAGE </w:instrText>
    </w:r>
    <w:r w:rsidR="00414BB7" w:rsidRPr="00B026C8">
      <w:rPr>
        <w:rFonts w:ascii="Century Gothic" w:hAnsi="Century Gothic"/>
        <w:color w:val="00408E"/>
        <w:sz w:val="16"/>
        <w:szCs w:val="16"/>
      </w:rPr>
      <w:fldChar w:fldCharType="separate"/>
    </w:r>
    <w:r w:rsidR="00910E19">
      <w:rPr>
        <w:rFonts w:ascii="Century Gothic" w:hAnsi="Century Gothic"/>
        <w:noProof/>
        <w:color w:val="00408E"/>
        <w:sz w:val="16"/>
        <w:szCs w:val="16"/>
      </w:rPr>
      <w:t>2</w:t>
    </w:r>
    <w:r w:rsidR="00414BB7" w:rsidRPr="00B026C8">
      <w:rPr>
        <w:rFonts w:ascii="Century Gothic" w:hAnsi="Century Gothic"/>
        <w:color w:val="00408E"/>
        <w:sz w:val="16"/>
        <w:szCs w:val="16"/>
      </w:rPr>
      <w:fldChar w:fldCharType="end"/>
    </w:r>
    <w:r w:rsidR="00414BB7" w:rsidRPr="00B026C8">
      <w:rPr>
        <w:rFonts w:ascii="Century Gothic" w:hAnsi="Century Gothic"/>
        <w:color w:val="00408E"/>
        <w:sz w:val="16"/>
        <w:szCs w:val="16"/>
      </w:rPr>
      <w:t xml:space="preserve"> of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NUMPAGES  </w:instrText>
    </w:r>
    <w:r w:rsidR="00414BB7" w:rsidRPr="00B026C8">
      <w:rPr>
        <w:rFonts w:ascii="Century Gothic" w:hAnsi="Century Gothic"/>
        <w:color w:val="00408E"/>
        <w:sz w:val="16"/>
        <w:szCs w:val="16"/>
      </w:rPr>
      <w:fldChar w:fldCharType="separate"/>
    </w:r>
    <w:r w:rsidR="00910E19">
      <w:rPr>
        <w:rFonts w:ascii="Century Gothic" w:hAnsi="Century Gothic"/>
        <w:noProof/>
        <w:color w:val="00408E"/>
        <w:sz w:val="16"/>
        <w:szCs w:val="16"/>
      </w:rPr>
      <w:t>11</w:t>
    </w:r>
    <w:r w:rsidR="00414BB7" w:rsidRPr="00B026C8">
      <w:rPr>
        <w:rFonts w:ascii="Century Gothic" w:hAnsi="Century Gothic"/>
        <w:color w:val="00408E"/>
        <w:sz w:val="16"/>
        <w:szCs w:val="16"/>
      </w:rPr>
      <w:fldChar w:fldCharType="end"/>
    </w:r>
  </w:p>
  <w:p w14:paraId="5437F5F8" w14:textId="77777777" w:rsidR="00414BB7" w:rsidRPr="000C0FD7" w:rsidRDefault="00414BB7"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414BB7" w:rsidRPr="00C2562C" w:rsidRDefault="00414BB7" w:rsidP="00740F60">
    <w:pPr>
      <w:pBdr>
        <w:top w:val="single" w:sz="18" w:space="1" w:color="1F497D"/>
      </w:pBdr>
      <w:spacing w:before="240"/>
      <w:ind w:right="544"/>
      <w:rPr>
        <w:color w:val="00408E"/>
        <w:sz w:val="2"/>
        <w:szCs w:val="2"/>
      </w:rPr>
    </w:pPr>
  </w:p>
  <w:p w14:paraId="6CEFBB86" w14:textId="77777777" w:rsidR="00414BB7" w:rsidRPr="00B026C8" w:rsidRDefault="00414BB7" w:rsidP="00740F60">
    <w:pPr>
      <w:pStyle w:val="NoSpacing"/>
      <w:ind w:right="544"/>
      <w:jc w:val="right"/>
      <w:rPr>
        <w:sz w:val="16"/>
        <w:szCs w:val="16"/>
      </w:rPr>
    </w:pPr>
    <w:r w:rsidRPr="00B026C8">
      <w:rPr>
        <w:sz w:val="16"/>
        <w:szCs w:val="16"/>
      </w:rPr>
      <w:t xml:space="preserve">203 Drummond Street, Carlton VIC 3053 </w:t>
    </w:r>
  </w:p>
  <w:p w14:paraId="43F9FA24" w14:textId="77777777" w:rsidR="00414BB7" w:rsidRPr="00B026C8" w:rsidRDefault="00414BB7" w:rsidP="00740F60">
    <w:pPr>
      <w:pStyle w:val="NoSpacing"/>
      <w:ind w:right="544"/>
      <w:jc w:val="right"/>
      <w:rPr>
        <w:sz w:val="16"/>
        <w:szCs w:val="16"/>
      </w:rPr>
    </w:pPr>
    <w:r w:rsidRPr="00B026C8">
      <w:rPr>
        <w:sz w:val="16"/>
        <w:szCs w:val="16"/>
      </w:rPr>
      <w:t>03 9650 7222</w:t>
    </w:r>
  </w:p>
  <w:p w14:paraId="67FE17A9" w14:textId="77777777" w:rsidR="00414BB7" w:rsidRPr="00B026C8" w:rsidRDefault="00414BB7" w:rsidP="00740F60">
    <w:pPr>
      <w:pStyle w:val="NoSpacing"/>
      <w:ind w:right="544"/>
      <w:jc w:val="right"/>
      <w:rPr>
        <w:sz w:val="16"/>
        <w:szCs w:val="16"/>
      </w:rPr>
    </w:pPr>
    <w:r w:rsidRPr="00B026C8">
      <w:rPr>
        <w:sz w:val="16"/>
        <w:szCs w:val="16"/>
      </w:rPr>
      <w:t xml:space="preserve">www.acig.com.au </w:t>
    </w:r>
  </w:p>
  <w:p w14:paraId="19DE8D68" w14:textId="77777777" w:rsidR="00414BB7" w:rsidRDefault="00414BB7"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CF68" w14:textId="77777777" w:rsidR="00772829" w:rsidRDefault="00772829" w:rsidP="00A24449">
      <w:r>
        <w:separator/>
      </w:r>
    </w:p>
  </w:footnote>
  <w:footnote w:type="continuationSeparator" w:id="0">
    <w:p w14:paraId="5A17A0A7" w14:textId="77777777" w:rsidR="00772829" w:rsidRDefault="00772829"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7777777" w:rsidR="00414BB7" w:rsidRDefault="00414BB7" w:rsidP="002276FD">
    <w:pPr>
      <w:pStyle w:val="Header"/>
      <w:tabs>
        <w:tab w:val="clear" w:pos="4680"/>
        <w:tab w:val="clear" w:pos="9360"/>
      </w:tabs>
      <w:ind w:left="7920" w:right="-306" w:firstLine="444"/>
    </w:pPr>
    <w:bookmarkStart w:id="4" w:name="_Hlk484433278"/>
    <w:bookmarkStart w:id="5" w:name="_Hlk484433279"/>
    <w:r>
      <w:rPr>
        <w:noProof/>
        <w:lang w:val="en-GB" w:eastAsia="en-GB"/>
      </w:rPr>
      <w:drawing>
        <wp:inline distT="0" distB="0" distL="0" distR="0" wp14:anchorId="2EFA62C4" wp14:editId="56ABB83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6E2D9AF" w14:textId="77777777" w:rsidR="00414BB7" w:rsidRPr="00A12C22" w:rsidRDefault="00414BB7"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6E2D9AF" w14:textId="77777777" w:rsidR="00414BB7" w:rsidRPr="00A12C22" w:rsidRDefault="00414BB7"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414BB7" w:rsidRDefault="00414BB7" w:rsidP="00C2562C">
    <w:pPr>
      <w:pStyle w:val="Header"/>
      <w:tabs>
        <w:tab w:val="clear" w:pos="9360"/>
      </w:tabs>
      <w:ind w:left="-851"/>
      <w:jc w:val="center"/>
    </w:pPr>
    <w:r>
      <w:rPr>
        <w:noProof/>
        <w:lang w:val="en-GB" w:eastAsia="en-GB"/>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E28A0"/>
    <w:multiLevelType w:val="hybridMultilevel"/>
    <w:tmpl w:val="EBF25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B64DA"/>
    <w:multiLevelType w:val="hybridMultilevel"/>
    <w:tmpl w:val="9FD2A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B7688"/>
    <w:multiLevelType w:val="hybridMultilevel"/>
    <w:tmpl w:val="3878CF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A450202"/>
    <w:multiLevelType w:val="hybridMultilevel"/>
    <w:tmpl w:val="F7D8B8D8"/>
    <w:lvl w:ilvl="0" w:tplc="B096DDA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1CB15D59"/>
    <w:multiLevelType w:val="hybridMultilevel"/>
    <w:tmpl w:val="D99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97C60"/>
    <w:multiLevelType w:val="hybridMultilevel"/>
    <w:tmpl w:val="6CA6BC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28405595"/>
    <w:multiLevelType w:val="hybridMultilevel"/>
    <w:tmpl w:val="E4FEA7BA"/>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87A8D"/>
    <w:multiLevelType w:val="hybridMultilevel"/>
    <w:tmpl w:val="3C1A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41F29"/>
    <w:multiLevelType w:val="hybridMultilevel"/>
    <w:tmpl w:val="2F46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D3707"/>
    <w:multiLevelType w:val="hybridMultilevel"/>
    <w:tmpl w:val="74EABA7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431E0922"/>
    <w:multiLevelType w:val="hybridMultilevel"/>
    <w:tmpl w:val="21E47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E08B2"/>
    <w:multiLevelType w:val="hybridMultilevel"/>
    <w:tmpl w:val="7A325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024B9"/>
    <w:multiLevelType w:val="hybridMultilevel"/>
    <w:tmpl w:val="23D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E4100"/>
    <w:multiLevelType w:val="multilevel"/>
    <w:tmpl w:val="DAA2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1" w15:restartNumberingAfterBreak="0">
    <w:nsid w:val="5C602446"/>
    <w:multiLevelType w:val="hybridMultilevel"/>
    <w:tmpl w:val="EE9EE864"/>
    <w:lvl w:ilvl="0" w:tplc="D0E229D4">
      <w:start w:val="1"/>
      <w:numFmt w:val="lowerLetter"/>
      <w:lvlText w:val="%1."/>
      <w:lvlJc w:val="left"/>
      <w:pPr>
        <w:ind w:left="720" w:hanging="360"/>
      </w:pPr>
      <w:rPr>
        <w:rFonts w:ascii="Century Gothic"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22233"/>
    <w:multiLevelType w:val="hybridMultilevel"/>
    <w:tmpl w:val="49A47A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025A17"/>
    <w:multiLevelType w:val="hybridMultilevel"/>
    <w:tmpl w:val="CE3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93F66"/>
    <w:multiLevelType w:val="hybridMultilevel"/>
    <w:tmpl w:val="E3A84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520D26"/>
    <w:multiLevelType w:val="hybridMultilevel"/>
    <w:tmpl w:val="403A67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354BE"/>
    <w:multiLevelType w:val="hybridMultilevel"/>
    <w:tmpl w:val="8E3AD8D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D1040D"/>
    <w:multiLevelType w:val="hybridMultilevel"/>
    <w:tmpl w:val="4516B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70E36"/>
    <w:multiLevelType w:val="hybridMultilevel"/>
    <w:tmpl w:val="DA86D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29"/>
  </w:num>
  <w:num w:numId="14">
    <w:abstractNumId w:val="13"/>
  </w:num>
  <w:num w:numId="15">
    <w:abstractNumId w:val="20"/>
  </w:num>
  <w:num w:numId="16">
    <w:abstractNumId w:val="26"/>
  </w:num>
  <w:num w:numId="17">
    <w:abstractNumId w:val="11"/>
  </w:num>
  <w:num w:numId="18">
    <w:abstractNumId w:val="17"/>
  </w:num>
  <w:num w:numId="19">
    <w:abstractNumId w:val="35"/>
  </w:num>
  <w:num w:numId="20">
    <w:abstractNumId w:val="12"/>
  </w:num>
  <w:num w:numId="21">
    <w:abstractNumId w:val="37"/>
  </w:num>
  <w:num w:numId="22">
    <w:abstractNumId w:val="22"/>
  </w:num>
  <w:num w:numId="23">
    <w:abstractNumId w:val="38"/>
  </w:num>
  <w:num w:numId="24">
    <w:abstractNumId w:val="15"/>
  </w:num>
  <w:num w:numId="25">
    <w:abstractNumId w:val="24"/>
  </w:num>
  <w:num w:numId="26">
    <w:abstractNumId w:val="25"/>
  </w:num>
  <w:num w:numId="27">
    <w:abstractNumId w:val="33"/>
  </w:num>
  <w:num w:numId="28">
    <w:abstractNumId w:val="16"/>
  </w:num>
  <w:num w:numId="29">
    <w:abstractNumId w:val="27"/>
  </w:num>
  <w:num w:numId="30">
    <w:abstractNumId w:val="19"/>
  </w:num>
  <w:num w:numId="31">
    <w:abstractNumId w:val="31"/>
  </w:num>
  <w:num w:numId="32">
    <w:abstractNumId w:val="10"/>
  </w:num>
  <w:num w:numId="33">
    <w:abstractNumId w:val="23"/>
  </w:num>
  <w:num w:numId="34">
    <w:abstractNumId w:val="21"/>
  </w:num>
  <w:num w:numId="35">
    <w:abstractNumId w:val="18"/>
  </w:num>
  <w:num w:numId="36">
    <w:abstractNumId w:val="36"/>
  </w:num>
  <w:num w:numId="37">
    <w:abstractNumId w:val="32"/>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0059C"/>
    <w:rsid w:val="00010398"/>
    <w:rsid w:val="00011375"/>
    <w:rsid w:val="00017DDB"/>
    <w:rsid w:val="00023512"/>
    <w:rsid w:val="0002714F"/>
    <w:rsid w:val="000328A2"/>
    <w:rsid w:val="00051AE4"/>
    <w:rsid w:val="000762FE"/>
    <w:rsid w:val="000830E5"/>
    <w:rsid w:val="00083BC8"/>
    <w:rsid w:val="0009215F"/>
    <w:rsid w:val="00093540"/>
    <w:rsid w:val="000964B7"/>
    <w:rsid w:val="000B4BF2"/>
    <w:rsid w:val="000C0FD7"/>
    <w:rsid w:val="000C363E"/>
    <w:rsid w:val="000C5167"/>
    <w:rsid w:val="000C6B2E"/>
    <w:rsid w:val="000F4835"/>
    <w:rsid w:val="001049DD"/>
    <w:rsid w:val="00105478"/>
    <w:rsid w:val="00126B3C"/>
    <w:rsid w:val="001553D7"/>
    <w:rsid w:val="001577F4"/>
    <w:rsid w:val="0016195D"/>
    <w:rsid w:val="001739BC"/>
    <w:rsid w:val="0017576D"/>
    <w:rsid w:val="00193496"/>
    <w:rsid w:val="001A03E9"/>
    <w:rsid w:val="001B337F"/>
    <w:rsid w:val="001F1269"/>
    <w:rsid w:val="001F522A"/>
    <w:rsid w:val="002058B3"/>
    <w:rsid w:val="002110FA"/>
    <w:rsid w:val="0021574F"/>
    <w:rsid w:val="002276FD"/>
    <w:rsid w:val="00250279"/>
    <w:rsid w:val="0025104A"/>
    <w:rsid w:val="00262ACB"/>
    <w:rsid w:val="00266CAF"/>
    <w:rsid w:val="00273354"/>
    <w:rsid w:val="00273DE7"/>
    <w:rsid w:val="002A3393"/>
    <w:rsid w:val="002F7386"/>
    <w:rsid w:val="00313CEC"/>
    <w:rsid w:val="00327A1A"/>
    <w:rsid w:val="003308BB"/>
    <w:rsid w:val="003401B4"/>
    <w:rsid w:val="003643C4"/>
    <w:rsid w:val="003644DC"/>
    <w:rsid w:val="00364F2E"/>
    <w:rsid w:val="00373418"/>
    <w:rsid w:val="003952E6"/>
    <w:rsid w:val="003961C1"/>
    <w:rsid w:val="003A1AB7"/>
    <w:rsid w:val="003A38F1"/>
    <w:rsid w:val="003A6011"/>
    <w:rsid w:val="003C23AE"/>
    <w:rsid w:val="003D4677"/>
    <w:rsid w:val="003D7A8D"/>
    <w:rsid w:val="00400344"/>
    <w:rsid w:val="00406CEE"/>
    <w:rsid w:val="00412A64"/>
    <w:rsid w:val="00412D18"/>
    <w:rsid w:val="00414BB7"/>
    <w:rsid w:val="00416093"/>
    <w:rsid w:val="004256A5"/>
    <w:rsid w:val="004329CE"/>
    <w:rsid w:val="00454CBD"/>
    <w:rsid w:val="0047328E"/>
    <w:rsid w:val="00475D02"/>
    <w:rsid w:val="00481803"/>
    <w:rsid w:val="00482610"/>
    <w:rsid w:val="004837E2"/>
    <w:rsid w:val="00484344"/>
    <w:rsid w:val="00492E56"/>
    <w:rsid w:val="004951F3"/>
    <w:rsid w:val="004A58B8"/>
    <w:rsid w:val="004D1CD5"/>
    <w:rsid w:val="004E04A6"/>
    <w:rsid w:val="004E22C7"/>
    <w:rsid w:val="004E2498"/>
    <w:rsid w:val="004F2490"/>
    <w:rsid w:val="004F7DFD"/>
    <w:rsid w:val="0051347B"/>
    <w:rsid w:val="0053220F"/>
    <w:rsid w:val="00541F5E"/>
    <w:rsid w:val="00542806"/>
    <w:rsid w:val="00574D76"/>
    <w:rsid w:val="00577F86"/>
    <w:rsid w:val="00580A87"/>
    <w:rsid w:val="00591235"/>
    <w:rsid w:val="0059245A"/>
    <w:rsid w:val="00592617"/>
    <w:rsid w:val="005963C1"/>
    <w:rsid w:val="005A6672"/>
    <w:rsid w:val="005B7B51"/>
    <w:rsid w:val="005C1A9E"/>
    <w:rsid w:val="005C34B9"/>
    <w:rsid w:val="005E2917"/>
    <w:rsid w:val="005E2AFC"/>
    <w:rsid w:val="00610994"/>
    <w:rsid w:val="00616F3E"/>
    <w:rsid w:val="00624AEC"/>
    <w:rsid w:val="00641091"/>
    <w:rsid w:val="00641E9D"/>
    <w:rsid w:val="00647D6D"/>
    <w:rsid w:val="00652018"/>
    <w:rsid w:val="00652976"/>
    <w:rsid w:val="0067002E"/>
    <w:rsid w:val="006735F6"/>
    <w:rsid w:val="0067792E"/>
    <w:rsid w:val="00683C6C"/>
    <w:rsid w:val="0068512A"/>
    <w:rsid w:val="0069617F"/>
    <w:rsid w:val="00696D27"/>
    <w:rsid w:val="006C0C2E"/>
    <w:rsid w:val="00700CF9"/>
    <w:rsid w:val="00714D70"/>
    <w:rsid w:val="00722431"/>
    <w:rsid w:val="0072423D"/>
    <w:rsid w:val="007254F9"/>
    <w:rsid w:val="00731C3E"/>
    <w:rsid w:val="00740F60"/>
    <w:rsid w:val="007562E8"/>
    <w:rsid w:val="00756E0C"/>
    <w:rsid w:val="007670C2"/>
    <w:rsid w:val="00772829"/>
    <w:rsid w:val="00776376"/>
    <w:rsid w:val="007877CD"/>
    <w:rsid w:val="007A174E"/>
    <w:rsid w:val="007A6CF2"/>
    <w:rsid w:val="007A7B6C"/>
    <w:rsid w:val="007C651A"/>
    <w:rsid w:val="007D32B7"/>
    <w:rsid w:val="007E16EE"/>
    <w:rsid w:val="007F11CB"/>
    <w:rsid w:val="007F47EB"/>
    <w:rsid w:val="007F5CD3"/>
    <w:rsid w:val="00800F85"/>
    <w:rsid w:val="00801D1B"/>
    <w:rsid w:val="00815A76"/>
    <w:rsid w:val="00817EAC"/>
    <w:rsid w:val="008246F4"/>
    <w:rsid w:val="0082500F"/>
    <w:rsid w:val="00854588"/>
    <w:rsid w:val="0087059D"/>
    <w:rsid w:val="0087098A"/>
    <w:rsid w:val="008822A3"/>
    <w:rsid w:val="00882354"/>
    <w:rsid w:val="0088268E"/>
    <w:rsid w:val="00896848"/>
    <w:rsid w:val="008B2849"/>
    <w:rsid w:val="008C37FE"/>
    <w:rsid w:val="008C4F95"/>
    <w:rsid w:val="008D31F9"/>
    <w:rsid w:val="008E3BCE"/>
    <w:rsid w:val="00903001"/>
    <w:rsid w:val="00904060"/>
    <w:rsid w:val="00910E19"/>
    <w:rsid w:val="009123B6"/>
    <w:rsid w:val="00920FBF"/>
    <w:rsid w:val="009673D3"/>
    <w:rsid w:val="0099631A"/>
    <w:rsid w:val="009B16D5"/>
    <w:rsid w:val="009C60E1"/>
    <w:rsid w:val="009C77A8"/>
    <w:rsid w:val="009E2D17"/>
    <w:rsid w:val="00A07882"/>
    <w:rsid w:val="00A12C22"/>
    <w:rsid w:val="00A1705A"/>
    <w:rsid w:val="00A21A3B"/>
    <w:rsid w:val="00A24449"/>
    <w:rsid w:val="00A40DB0"/>
    <w:rsid w:val="00A531D4"/>
    <w:rsid w:val="00A55D0C"/>
    <w:rsid w:val="00A660EB"/>
    <w:rsid w:val="00A779C6"/>
    <w:rsid w:val="00A86B36"/>
    <w:rsid w:val="00A9062B"/>
    <w:rsid w:val="00A9778B"/>
    <w:rsid w:val="00AA0126"/>
    <w:rsid w:val="00AA2944"/>
    <w:rsid w:val="00AA78F5"/>
    <w:rsid w:val="00AB26F7"/>
    <w:rsid w:val="00AC5490"/>
    <w:rsid w:val="00AC54BB"/>
    <w:rsid w:val="00AD1076"/>
    <w:rsid w:val="00AF5E8B"/>
    <w:rsid w:val="00B026C8"/>
    <w:rsid w:val="00B21330"/>
    <w:rsid w:val="00B22FE8"/>
    <w:rsid w:val="00B30023"/>
    <w:rsid w:val="00B4670D"/>
    <w:rsid w:val="00B72107"/>
    <w:rsid w:val="00B72D49"/>
    <w:rsid w:val="00B7340B"/>
    <w:rsid w:val="00B73F13"/>
    <w:rsid w:val="00B77372"/>
    <w:rsid w:val="00BA0533"/>
    <w:rsid w:val="00BE4850"/>
    <w:rsid w:val="00BE60A1"/>
    <w:rsid w:val="00C03AA6"/>
    <w:rsid w:val="00C114D4"/>
    <w:rsid w:val="00C144AE"/>
    <w:rsid w:val="00C21952"/>
    <w:rsid w:val="00C2562C"/>
    <w:rsid w:val="00C26F6D"/>
    <w:rsid w:val="00C3454E"/>
    <w:rsid w:val="00C50258"/>
    <w:rsid w:val="00C50C2C"/>
    <w:rsid w:val="00C71EBE"/>
    <w:rsid w:val="00C74517"/>
    <w:rsid w:val="00C863F4"/>
    <w:rsid w:val="00C86D44"/>
    <w:rsid w:val="00C9701E"/>
    <w:rsid w:val="00CD2809"/>
    <w:rsid w:val="00CD30A8"/>
    <w:rsid w:val="00CD57F8"/>
    <w:rsid w:val="00CF0606"/>
    <w:rsid w:val="00CF4236"/>
    <w:rsid w:val="00CF4E9A"/>
    <w:rsid w:val="00CF56FA"/>
    <w:rsid w:val="00D01CBD"/>
    <w:rsid w:val="00D0291F"/>
    <w:rsid w:val="00D049CB"/>
    <w:rsid w:val="00D06136"/>
    <w:rsid w:val="00D07C27"/>
    <w:rsid w:val="00D161F9"/>
    <w:rsid w:val="00D17FF3"/>
    <w:rsid w:val="00D41280"/>
    <w:rsid w:val="00D5733E"/>
    <w:rsid w:val="00D57B30"/>
    <w:rsid w:val="00D67997"/>
    <w:rsid w:val="00D67ECC"/>
    <w:rsid w:val="00D761C5"/>
    <w:rsid w:val="00D86EA8"/>
    <w:rsid w:val="00D9442D"/>
    <w:rsid w:val="00D94ECA"/>
    <w:rsid w:val="00DA436F"/>
    <w:rsid w:val="00DA46B6"/>
    <w:rsid w:val="00DA5ADE"/>
    <w:rsid w:val="00DB2704"/>
    <w:rsid w:val="00DB2F1E"/>
    <w:rsid w:val="00DB4C31"/>
    <w:rsid w:val="00DC39CB"/>
    <w:rsid w:val="00DC6026"/>
    <w:rsid w:val="00DD2C34"/>
    <w:rsid w:val="00DD4EEC"/>
    <w:rsid w:val="00DE065C"/>
    <w:rsid w:val="00DE621B"/>
    <w:rsid w:val="00DF0A41"/>
    <w:rsid w:val="00DF0C5D"/>
    <w:rsid w:val="00DF5B00"/>
    <w:rsid w:val="00E016F8"/>
    <w:rsid w:val="00E0220E"/>
    <w:rsid w:val="00E06DE4"/>
    <w:rsid w:val="00E1009D"/>
    <w:rsid w:val="00E248DA"/>
    <w:rsid w:val="00E3060B"/>
    <w:rsid w:val="00E41689"/>
    <w:rsid w:val="00E52362"/>
    <w:rsid w:val="00E55284"/>
    <w:rsid w:val="00E57BDD"/>
    <w:rsid w:val="00E615C7"/>
    <w:rsid w:val="00E61DEA"/>
    <w:rsid w:val="00E64914"/>
    <w:rsid w:val="00E6685E"/>
    <w:rsid w:val="00E7196B"/>
    <w:rsid w:val="00E9134A"/>
    <w:rsid w:val="00E9160C"/>
    <w:rsid w:val="00E927F8"/>
    <w:rsid w:val="00EA3A02"/>
    <w:rsid w:val="00EC3C37"/>
    <w:rsid w:val="00ED747D"/>
    <w:rsid w:val="00ED7F28"/>
    <w:rsid w:val="00EE2665"/>
    <w:rsid w:val="00F1229D"/>
    <w:rsid w:val="00F16B9A"/>
    <w:rsid w:val="00F179A4"/>
    <w:rsid w:val="00F21D6A"/>
    <w:rsid w:val="00F42A85"/>
    <w:rsid w:val="00F4462E"/>
    <w:rsid w:val="00F46F4F"/>
    <w:rsid w:val="00F53CFC"/>
    <w:rsid w:val="00F60721"/>
    <w:rsid w:val="00F60D91"/>
    <w:rsid w:val="00F6331C"/>
    <w:rsid w:val="00F9263E"/>
    <w:rsid w:val="00F96D2C"/>
    <w:rsid w:val="00FB365D"/>
    <w:rsid w:val="00FC2E8B"/>
    <w:rsid w:val="00FC4CC5"/>
    <w:rsid w:val="00FF08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284"/>
    <w:rPr>
      <w:rFonts w:ascii="Times New Roman" w:eastAsia="Times New Roman" w:hAnsi="Times New Roman"/>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E2665"/>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65"/>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lang w:val="en-US" w:eastAsia="en-US"/>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lang w:val="en-US" w:eastAsia="en-US"/>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lang w:val="en-US" w:eastAsia="en-US"/>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lang w:val="en-US" w:eastAsia="en-US"/>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lang w:val="en-US" w:eastAsia="en-US"/>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lang w:val="en-US" w:eastAsia="en-US"/>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lang w:val="en-US" w:eastAsia="en-US"/>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lang w:val="en-US" w:eastAsia="en-US"/>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rPr>
      <w:rFonts w:ascii="Calibri" w:hAnsi="Calibri"/>
      <w:lang w:val="en-US" w:eastAsia="en-US"/>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eastAsia="Calibri" w:hAnsi="Tahoma" w:cs="Tahoma"/>
      <w:sz w:val="16"/>
      <w:szCs w:val="16"/>
      <w:lang w:val="en-GB" w:eastAsia="en-GB"/>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1009D"/>
  </w:style>
  <w:style w:type="paragraph" w:styleId="NormalWeb">
    <w:name w:val="Normal (Web)"/>
    <w:basedOn w:val="Normal"/>
    <w:uiPriority w:val="99"/>
    <w:semiHidden/>
    <w:unhideWhenUsed/>
    <w:rsid w:val="00D761C5"/>
    <w:pPr>
      <w:spacing w:before="100" w:beforeAutospacing="1" w:after="100" w:afterAutospacing="1"/>
    </w:pPr>
    <w:rPr>
      <w:rFonts w:eastAsia="Calibri"/>
      <w:lang w:val="en-GB" w:eastAsia="en-GB"/>
    </w:rPr>
  </w:style>
  <w:style w:type="character" w:styleId="FollowedHyperlink">
    <w:name w:val="FollowedHyperlink"/>
    <w:basedOn w:val="DefaultParagraphFont"/>
    <w:uiPriority w:val="99"/>
    <w:semiHidden/>
    <w:unhideWhenUsed/>
    <w:rsid w:val="00A9062B"/>
    <w:rPr>
      <w:color w:val="954F72" w:themeColor="followedHyperlink"/>
      <w:u w:val="single"/>
    </w:rPr>
  </w:style>
  <w:style w:type="character" w:styleId="UnresolvedMention">
    <w:name w:val="Unresolved Mention"/>
    <w:basedOn w:val="DefaultParagraphFont"/>
    <w:uiPriority w:val="99"/>
    <w:rsid w:val="003D4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811">
      <w:bodyDiv w:val="1"/>
      <w:marLeft w:val="0"/>
      <w:marRight w:val="0"/>
      <w:marTop w:val="0"/>
      <w:marBottom w:val="0"/>
      <w:divBdr>
        <w:top w:val="none" w:sz="0" w:space="0" w:color="auto"/>
        <w:left w:val="none" w:sz="0" w:space="0" w:color="auto"/>
        <w:bottom w:val="none" w:sz="0" w:space="0" w:color="auto"/>
        <w:right w:val="none" w:sz="0" w:space="0" w:color="auto"/>
      </w:divBdr>
    </w:div>
    <w:div w:id="173349502">
      <w:bodyDiv w:val="1"/>
      <w:marLeft w:val="0"/>
      <w:marRight w:val="0"/>
      <w:marTop w:val="0"/>
      <w:marBottom w:val="0"/>
      <w:divBdr>
        <w:top w:val="none" w:sz="0" w:space="0" w:color="auto"/>
        <w:left w:val="none" w:sz="0" w:space="0" w:color="auto"/>
        <w:bottom w:val="none" w:sz="0" w:space="0" w:color="auto"/>
        <w:right w:val="none" w:sz="0" w:space="0" w:color="auto"/>
      </w:divBdr>
    </w:div>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326713376">
      <w:bodyDiv w:val="1"/>
      <w:marLeft w:val="0"/>
      <w:marRight w:val="0"/>
      <w:marTop w:val="0"/>
      <w:marBottom w:val="0"/>
      <w:divBdr>
        <w:top w:val="none" w:sz="0" w:space="0" w:color="auto"/>
        <w:left w:val="none" w:sz="0" w:space="0" w:color="auto"/>
        <w:bottom w:val="none" w:sz="0" w:space="0" w:color="auto"/>
        <w:right w:val="none" w:sz="0" w:space="0" w:color="auto"/>
      </w:divBdr>
    </w:div>
    <w:div w:id="422338440">
      <w:bodyDiv w:val="1"/>
      <w:marLeft w:val="0"/>
      <w:marRight w:val="0"/>
      <w:marTop w:val="0"/>
      <w:marBottom w:val="0"/>
      <w:divBdr>
        <w:top w:val="none" w:sz="0" w:space="0" w:color="auto"/>
        <w:left w:val="none" w:sz="0" w:space="0" w:color="auto"/>
        <w:bottom w:val="none" w:sz="0" w:space="0" w:color="auto"/>
        <w:right w:val="none" w:sz="0" w:space="0" w:color="auto"/>
      </w:divBdr>
    </w:div>
    <w:div w:id="876624054">
      <w:bodyDiv w:val="1"/>
      <w:marLeft w:val="0"/>
      <w:marRight w:val="0"/>
      <w:marTop w:val="0"/>
      <w:marBottom w:val="0"/>
      <w:divBdr>
        <w:top w:val="none" w:sz="0" w:space="0" w:color="auto"/>
        <w:left w:val="none" w:sz="0" w:space="0" w:color="auto"/>
        <w:bottom w:val="none" w:sz="0" w:space="0" w:color="auto"/>
        <w:right w:val="none" w:sz="0" w:space="0" w:color="auto"/>
      </w:divBdr>
    </w:div>
    <w:div w:id="1001004843">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ctivity/gac-capacity-development-workshops-2017-2018" TargetMode="External"/><Relationship Id="rId13" Type="http://schemas.openxmlformats.org/officeDocument/2006/relationships/hyperlink" Target="https://www.icann.org/public-comments/travel-support-guidelines-2018-05-30-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icann.org/sessions/gac-introductory-webinar-series-icann-s-complaint-off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icann.org/sessions/gac-introductory-webinar-series-about-the-gnso-and-policy-development-process-pd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c.icann.org/sessions/gac-introductory-webinar-series-information-transparency-initiative-i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ac.icann.org/activity/gac-introductory-webinar-series-pilot-edi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2FB2-0B95-3041-A0E1-215A39FA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6617</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Tom Dale</cp:lastModifiedBy>
  <cp:revision>4</cp:revision>
  <cp:lastPrinted>2013-11-27T05:14:00Z</cp:lastPrinted>
  <dcterms:created xsi:type="dcterms:W3CDTF">2018-06-07T03:41:00Z</dcterms:created>
  <dcterms:modified xsi:type="dcterms:W3CDTF">2018-06-14T03:17:00Z</dcterms:modified>
</cp:coreProperties>
</file>